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2447CF5B" w:rsidR="00EE7480" w:rsidRDefault="00111AF4" w:rsidP="0077028B">
      <w:pPr>
        <w:pStyle w:val="Heading1"/>
      </w:pPr>
      <w:r w:rsidRPr="00111AF4">
        <w:t>Knowledge and critical understanding of the world (politics and law)</w:t>
      </w:r>
      <w:r>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4B8B00F9" w:rsidR="00BA5AC3" w:rsidRDefault="009B05D1" w:rsidP="00917006">
            <w:pPr>
              <w:ind w:left="1310"/>
            </w:pPr>
            <w:bookmarkStart w:id="0" w:name="_GoBack"/>
            <w:r>
              <w:rPr>
                <w:noProof/>
              </w:rPr>
              <w:drawing>
                <wp:inline distT="0" distB="0" distL="0" distR="0" wp14:anchorId="2EB12068" wp14:editId="0B98A8EC">
                  <wp:extent cx="8884920" cy="3200400"/>
                  <wp:effectExtent l="0" t="57150" r="0" b="762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77777777" w:rsidR="00E77D6F" w:rsidRDefault="00E77D6F">
      <w:pPr>
        <w:spacing w:before="0" w:after="160" w:line="259" w:lineRule="auto"/>
      </w:pPr>
      <w:r>
        <w:lastRenderedPageBreak/>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77B3" w14:textId="77777777" w:rsidR="00A0072E" w:rsidRDefault="00A0072E" w:rsidP="00973DF9">
      <w:pPr>
        <w:spacing w:before="0" w:after="0" w:line="240" w:lineRule="auto"/>
      </w:pPr>
      <w:r>
        <w:separator/>
      </w:r>
    </w:p>
  </w:endnote>
  <w:endnote w:type="continuationSeparator" w:id="0">
    <w:p w14:paraId="3B28279A" w14:textId="77777777" w:rsidR="00A0072E" w:rsidRDefault="00A0072E"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C1370" w14:textId="77777777" w:rsidR="00A0072E" w:rsidRDefault="00A0072E" w:rsidP="00973DF9">
      <w:pPr>
        <w:spacing w:before="0" w:after="0" w:line="240" w:lineRule="auto"/>
      </w:pPr>
      <w:r>
        <w:separator/>
      </w:r>
    </w:p>
  </w:footnote>
  <w:footnote w:type="continuationSeparator" w:id="0">
    <w:p w14:paraId="6588979B" w14:textId="77777777" w:rsidR="00A0072E" w:rsidRDefault="00A0072E"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4557B"/>
    <w:rsid w:val="001016D2"/>
    <w:rsid w:val="00111AF4"/>
    <w:rsid w:val="00146B98"/>
    <w:rsid w:val="00156229"/>
    <w:rsid w:val="00175B87"/>
    <w:rsid w:val="001926E6"/>
    <w:rsid w:val="001C2B24"/>
    <w:rsid w:val="00242723"/>
    <w:rsid w:val="002803BF"/>
    <w:rsid w:val="0030496F"/>
    <w:rsid w:val="00307B7F"/>
    <w:rsid w:val="0033444E"/>
    <w:rsid w:val="00350953"/>
    <w:rsid w:val="00353F0C"/>
    <w:rsid w:val="00395A9E"/>
    <w:rsid w:val="003B1A33"/>
    <w:rsid w:val="00415586"/>
    <w:rsid w:val="004C539A"/>
    <w:rsid w:val="004F3209"/>
    <w:rsid w:val="005B51DD"/>
    <w:rsid w:val="005C54A9"/>
    <w:rsid w:val="0077028B"/>
    <w:rsid w:val="007A72C6"/>
    <w:rsid w:val="00823E8B"/>
    <w:rsid w:val="00845CEB"/>
    <w:rsid w:val="00896902"/>
    <w:rsid w:val="008D0A31"/>
    <w:rsid w:val="008F2546"/>
    <w:rsid w:val="008F5E4C"/>
    <w:rsid w:val="00917006"/>
    <w:rsid w:val="00973DF9"/>
    <w:rsid w:val="0099606C"/>
    <w:rsid w:val="009B05D1"/>
    <w:rsid w:val="00A0072E"/>
    <w:rsid w:val="00A13174"/>
    <w:rsid w:val="00A15862"/>
    <w:rsid w:val="00A92172"/>
    <w:rsid w:val="00AA4E90"/>
    <w:rsid w:val="00AF1296"/>
    <w:rsid w:val="00B02BA9"/>
    <w:rsid w:val="00B14091"/>
    <w:rsid w:val="00B85FAE"/>
    <w:rsid w:val="00BA5AC3"/>
    <w:rsid w:val="00BB09F3"/>
    <w:rsid w:val="00BF0FD8"/>
    <w:rsid w:val="00C25645"/>
    <w:rsid w:val="00C47E83"/>
    <w:rsid w:val="00C645EE"/>
    <w:rsid w:val="00C9263A"/>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can use key terms (democracy, freedom, justice, equality, citizenship, rights and responsibilities, laws and regulations, rule of law) to describe what is happening in a range of situations</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provide own examples to illustrate key terms</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describe the various ways people at different levels can be held to account </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describe the nature of power in society, and explain examples of how and why people have been held to account, and of failures to hold people to account</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78020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59269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use key terms (democracy, freedom, justice, equality, citizenship, rights and responsibilities, laws and regulations, rule of law) to describe what is happening in a range of situations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592695" y="1720166"/>
        <a:ext cx="1687491" cy="1479184"/>
      </dsp:txXfrm>
    </dsp:sp>
    <dsp:sp modelId="{C28B5A33-A5F4-41FF-A902-1974AFAF64D6}">
      <dsp:nvSpPr>
        <dsp:cNvPr id="0" name=""/>
        <dsp:cNvSpPr/>
      </dsp:nvSpPr>
      <dsp:spPr>
        <a:xfrm>
          <a:off x="196179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84602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65851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provide own examples to illustrate key terms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658514" y="1208977"/>
        <a:ext cx="1687491" cy="1479184"/>
      </dsp:txXfrm>
    </dsp:sp>
    <dsp:sp modelId="{989A2BEB-5C01-49AC-9FFA-68F79F9D28D1}">
      <dsp:nvSpPr>
        <dsp:cNvPr id="0" name=""/>
        <dsp:cNvSpPr/>
      </dsp:nvSpPr>
      <dsp:spPr>
        <a:xfrm>
          <a:off x="402761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91184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72433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the various ways people at different levels can be held to account </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724332" y="697788"/>
        <a:ext cx="1687491" cy="1479184"/>
      </dsp:txXfrm>
    </dsp:sp>
    <dsp:sp modelId="{1E696AA0-E64A-4237-AD40-8331001FD098}">
      <dsp:nvSpPr>
        <dsp:cNvPr id="0" name=""/>
        <dsp:cNvSpPr/>
      </dsp:nvSpPr>
      <dsp:spPr>
        <a:xfrm>
          <a:off x="609342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97765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79015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the nature of power in society, and explain examples of how and why people have been held to account, and of failures to hold people to account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79015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2019-10-09T11:30:00Z</dcterms:created>
  <dcterms:modified xsi:type="dcterms:W3CDTF">2019-10-09T11:30:00Z</dcterms:modified>
</cp:coreProperties>
</file>